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9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9469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color w:val="F2F2F2"/>
                <w:sz w:val="48"/>
                <w:szCs w:val="48"/>
              </w:rPr>
            </w:pPr>
            <w:r>
              <w:rPr>
                <w:rFonts w:cs="Arial"/>
                <w:color w:val="F2F2F2"/>
                <w:sz w:val="48"/>
                <w:szCs w:val="48"/>
              </w:rPr>
              <w:t xml:space="preserve">Play </w:t>
            </w:r>
            <w:proofErr w:type="spellStart"/>
            <w:r>
              <w:rPr>
                <w:rFonts w:cs="Arial"/>
                <w:color w:val="F2F2F2"/>
                <w:sz w:val="48"/>
                <w:szCs w:val="48"/>
              </w:rPr>
              <w:t>and</w:t>
            </w:r>
            <w:proofErr w:type="spellEnd"/>
            <w:r>
              <w:rPr>
                <w:rFonts w:cs="Arial"/>
                <w:color w:val="F2F2F2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cs="Arial"/>
                <w:color w:val="F2F2F2"/>
                <w:sz w:val="48"/>
                <w:szCs w:val="48"/>
              </w:rPr>
              <w:t>talk</w:t>
            </w:r>
            <w:proofErr w:type="spellEnd"/>
            <w:r>
              <w:rPr>
                <w:rFonts w:cs="Arial"/>
                <w:color w:val="F2F2F2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cs="Arial"/>
                <w:color w:val="F2F2F2"/>
                <w:sz w:val="48"/>
                <w:szCs w:val="48"/>
              </w:rPr>
              <w:t>together</w:t>
            </w:r>
            <w:proofErr w:type="spellEnd"/>
          </w:p>
        </w:tc>
      </w:tr>
    </w:tbl>
    <w:p w:rsidR="00F831FD" w:rsidRDefault="00F831FD">
      <w:pPr>
        <w:spacing w:after="0" w:line="240" w:lineRule="auto"/>
        <w:rPr>
          <w:rFonts w:cs="Arial"/>
        </w:rPr>
      </w:pPr>
    </w:p>
    <w:tbl>
      <w:tblPr>
        <w:tblW w:w="946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3"/>
        <w:gridCol w:w="7296"/>
      </w:tblGrid>
      <w:tr w:rsidR="00F831FD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217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Anwendungsbereiche</w:t>
            </w:r>
          </w:p>
        </w:tc>
        <w:tc>
          <w:tcPr>
            <w:tcW w:w="729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</w:pPr>
            <w:r>
              <w:rPr>
                <w:bCs/>
                <w:szCs w:val="20"/>
              </w:rPr>
              <w:t>Sensibilisierung</w:t>
            </w:r>
            <w:r>
              <w:rPr>
                <w:szCs w:val="20"/>
              </w:rPr>
              <w:t xml:space="preserve">, Wissensvermittlung, </w:t>
            </w:r>
            <w:r>
              <w:rPr>
                <w:bCs/>
                <w:szCs w:val="20"/>
              </w:rPr>
              <w:t>Reflexion</w:t>
            </w:r>
            <w:r>
              <w:rPr>
                <w:szCs w:val="20"/>
              </w:rPr>
              <w:t xml:space="preserve"> 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217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Geschätzte Dauer</w:t>
            </w:r>
          </w:p>
        </w:tc>
        <w:tc>
          <w:tcPr>
            <w:tcW w:w="729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90 Minuten 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17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Sozialform</w:t>
            </w:r>
          </w:p>
        </w:tc>
        <w:tc>
          <w:tcPr>
            <w:tcW w:w="729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Gruppenarbeit, Plenum</w:t>
            </w:r>
          </w:p>
        </w:tc>
      </w:tr>
    </w:tbl>
    <w:p w:rsidR="00F831FD" w:rsidRDefault="00F831FD">
      <w:pPr>
        <w:rPr>
          <w:rFonts w:cs="Arial"/>
        </w:rPr>
      </w:pPr>
    </w:p>
    <w:tbl>
      <w:tblPr>
        <w:tblW w:w="946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1"/>
        <w:gridCol w:w="7328"/>
      </w:tblGrid>
      <w:tr w:rsidR="00F831FD">
        <w:tblPrEx>
          <w:tblCellMar>
            <w:top w:w="0" w:type="dxa"/>
            <w:bottom w:w="0" w:type="dxa"/>
          </w:tblCellMar>
        </w:tblPrEx>
        <w:trPr>
          <w:trHeight w:val="1121"/>
        </w:trPr>
        <w:tc>
          <w:tcPr>
            <w:tcW w:w="214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Ziel</w:t>
            </w:r>
          </w:p>
        </w:tc>
        <w:tc>
          <w:tcPr>
            <w:tcW w:w="7328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pStyle w:val="-Spiegelstrich"/>
              <w:ind w:left="161" w:hanging="161"/>
            </w:pPr>
            <w:r>
              <w:t xml:space="preserve">Im Folgenden wird </w:t>
            </w:r>
            <w:r>
              <w:t>ein Mix aus „Methode und Setting“ für den Einsatz digitaler Spiele in Bildungskontexten vorgestellt. Ziel ist es, Anregungen zu geben, wie Inhalte aus digitalen Spielen und thematisch aufgegriffen werden können.</w:t>
            </w:r>
            <w:r>
              <w:br/>
            </w:r>
            <w:r>
              <w:t>Bei „</w:t>
            </w:r>
            <w:proofErr w:type="spellStart"/>
            <w:r>
              <w:t>play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talk</w:t>
            </w:r>
            <w:proofErr w:type="spellEnd"/>
            <w:r>
              <w:t xml:space="preserve"> </w:t>
            </w:r>
            <w:proofErr w:type="spellStart"/>
            <w:r>
              <w:t>together</w:t>
            </w:r>
            <w:proofErr w:type="spellEnd"/>
            <w:r>
              <w:t>“ stehen das geme</w:t>
            </w:r>
            <w:r>
              <w:t>insame Spielen von ausgewählten Spielen, die Reflexion und Diskussion beispielsweise über Ethik, Moral, Konsequenzen von Entscheidungen und Handlungen im Vordergrund.</w:t>
            </w:r>
          </w:p>
          <w:p w:rsidR="00F831FD" w:rsidRDefault="00776D75" w:rsidP="000D61DF">
            <w:pPr>
              <w:pStyle w:val="-Spiegelstrich"/>
              <w:ind w:left="161" w:hanging="161"/>
            </w:pPr>
            <w:r>
              <w:t>Im näher beschriebenen Setting wird gemeinsam mit Einstellungen, Entscheidungen und deren</w:t>
            </w:r>
            <w:r>
              <w:t xml:space="preserve"> Konsequenzen „gespielt“, diese reflektiert, diskutiert, mit Lehr- und Lerninhalten oder konkreten Lebensweltbezügen verknüpft.</w:t>
            </w:r>
            <w:r>
              <w:br/>
            </w:r>
            <w:r>
              <w:t>Mögliche Stichworte: Moral, Ethik, Soziales Verhalten, Haltung, Vorbilder, Familie, Freunde, Religion, Kultur, Politik, Medien..</w:t>
            </w:r>
            <w:r>
              <w:t>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409"/>
        </w:trPr>
        <w:tc>
          <w:tcPr>
            <w:tcW w:w="214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Zielgruppe</w:t>
            </w:r>
          </w:p>
        </w:tc>
        <w:tc>
          <w:tcPr>
            <w:tcW w:w="7328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Jugendliche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214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Praxisfeld</w:t>
            </w:r>
          </w:p>
        </w:tc>
        <w:tc>
          <w:tcPr>
            <w:tcW w:w="7328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Schule, Offener Ganztag, OKJA</w:t>
            </w:r>
          </w:p>
        </w:tc>
      </w:tr>
    </w:tbl>
    <w:p w:rsidR="00F831FD" w:rsidRDefault="00F831FD">
      <w:pPr>
        <w:rPr>
          <w:rFonts w:cs="Arial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8"/>
        <w:gridCol w:w="1491"/>
        <w:gridCol w:w="5344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3681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textAlignment w:val="auto"/>
              <w:rPr>
                <w:szCs w:val="20"/>
              </w:rPr>
            </w:pPr>
            <w:r>
              <w:rPr>
                <w:szCs w:val="20"/>
              </w:rPr>
              <w:t>Kontakt</w:t>
            </w:r>
          </w:p>
          <w:p w:rsidR="00F831FD" w:rsidRDefault="00776D75">
            <w:pPr>
              <w:spacing w:after="0" w:line="240" w:lineRule="auto"/>
              <w:textAlignment w:val="auto"/>
            </w:pPr>
            <w:r>
              <w:rPr>
                <w:noProof/>
                <w:szCs w:val="20"/>
                <w:lang w:eastAsia="de-DE"/>
              </w:rPr>
              <w:drawing>
                <wp:inline distT="0" distB="0" distL="0" distR="0">
                  <wp:extent cx="2253173" cy="645657"/>
                  <wp:effectExtent l="0" t="0" r="0" b="2043"/>
                  <wp:docPr id="3" name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173" cy="64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spacing w:after="0" w:line="240" w:lineRule="auto"/>
              <w:textAlignment w:val="auto"/>
              <w:rPr>
                <w:szCs w:val="20"/>
              </w:rPr>
            </w:pPr>
          </w:p>
          <w:p w:rsidR="00F831FD" w:rsidRDefault="00776D75">
            <w:pPr>
              <w:spacing w:after="0" w:line="240" w:lineRule="auto"/>
              <w:textAlignment w:val="auto"/>
              <w:rPr>
                <w:szCs w:val="20"/>
              </w:rPr>
            </w:pPr>
            <w:r>
              <w:rPr>
                <w:szCs w:val="20"/>
              </w:rPr>
              <w:t>Spielraum - Medienpädagogik in der digitalen Spielekultur</w:t>
            </w:r>
            <w:r>
              <w:rPr>
                <w:szCs w:val="20"/>
              </w:rPr>
              <w:br/>
            </w:r>
            <w:r>
              <w:rPr>
                <w:szCs w:val="20"/>
              </w:rPr>
              <w:t>Institut für Medienforschung und Medienpädagogik</w:t>
            </w:r>
            <w:r>
              <w:rPr>
                <w:szCs w:val="20"/>
              </w:rPr>
              <w:br/>
            </w:r>
            <w:r>
              <w:rPr>
                <w:szCs w:val="20"/>
              </w:rPr>
              <w:t>Fakultät für Angewandte Sozialwissenschaften</w:t>
            </w:r>
            <w:r>
              <w:rPr>
                <w:szCs w:val="20"/>
              </w:rPr>
              <w:br/>
            </w:r>
            <w:r>
              <w:rPr>
                <w:szCs w:val="20"/>
              </w:rPr>
              <w:t xml:space="preserve">TH Köln - </w:t>
            </w:r>
            <w:proofErr w:type="spellStart"/>
            <w:r>
              <w:rPr>
                <w:szCs w:val="20"/>
              </w:rPr>
              <w:t>Ubierring</w:t>
            </w:r>
            <w:proofErr w:type="spellEnd"/>
            <w:r>
              <w:rPr>
                <w:szCs w:val="20"/>
              </w:rPr>
              <w:t xml:space="preserve"> 48 </w:t>
            </w:r>
            <w:r>
              <w:rPr>
                <w:szCs w:val="20"/>
              </w:rPr>
              <w:t>- 50678 Köln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textAlignment w:val="auto"/>
              <w:rPr>
                <w:szCs w:val="20"/>
              </w:rPr>
            </w:pPr>
            <w:r>
              <w:rPr>
                <w:szCs w:val="20"/>
              </w:rPr>
              <w:t>Ansprechperson</w:t>
            </w:r>
          </w:p>
        </w:tc>
        <w:tc>
          <w:tcPr>
            <w:tcW w:w="7357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textAlignment w:val="auto"/>
              <w:rPr>
                <w:szCs w:val="20"/>
              </w:rPr>
            </w:pPr>
            <w:r>
              <w:rPr>
                <w:szCs w:val="20"/>
              </w:rPr>
              <w:t>Jürgen Sleegers, TH Köln</w:t>
            </w:r>
          </w:p>
        </w:tc>
      </w:tr>
    </w:tbl>
    <w:p w:rsidR="00F831FD" w:rsidRDefault="00F831FD">
      <w:pPr>
        <w:rPr>
          <w:rFonts w:cs="Arial"/>
          <w:lang w:val="en-US"/>
        </w:rPr>
      </w:pPr>
    </w:p>
    <w:tbl>
      <w:tblPr>
        <w:tblW w:w="946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5"/>
        <w:gridCol w:w="3685"/>
        <w:gridCol w:w="3119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9469" w:type="dxa"/>
            <w:gridSpan w:val="3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 w:val="18"/>
                <w:szCs w:val="20"/>
                <w:lang w:eastAsia="de-DE"/>
              </w:rPr>
            </w:pPr>
            <w:r>
              <w:rPr>
                <w:rFonts w:cs="Arial"/>
                <w:sz w:val="18"/>
                <w:szCs w:val="20"/>
                <w:lang w:eastAsia="de-DE"/>
              </w:rPr>
              <w:t>Diese Methode ist im Rahmen des Projekts "Ethik und Games" an der TH Köln entstanden. Es ist gefördert von: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1401"/>
        </w:trPr>
        <w:tc>
          <w:tcPr>
            <w:tcW w:w="266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jc w:val="center"/>
            </w:pPr>
            <w:r>
              <w:rPr>
                <w:rFonts w:cs="Arial"/>
                <w:noProof/>
                <w:szCs w:val="20"/>
                <w:lang w:eastAsia="de-DE"/>
              </w:rPr>
              <w:drawing>
                <wp:inline distT="0" distB="0" distL="0" distR="0">
                  <wp:extent cx="1399726" cy="584621"/>
                  <wp:effectExtent l="0" t="0" r="0" b="5929"/>
                  <wp:docPr id="4" name="Bild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26" cy="58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jc w:val="center"/>
            </w:pPr>
            <w:r>
              <w:rPr>
                <w:rFonts w:cs="Arial"/>
                <w:noProof/>
                <w:szCs w:val="20"/>
                <w:lang w:eastAsia="de-D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38103</wp:posOffset>
                  </wp:positionH>
                  <wp:positionV relativeFrom="margin">
                    <wp:posOffset>106683</wp:posOffset>
                  </wp:positionV>
                  <wp:extent cx="2106933" cy="431167"/>
                  <wp:effectExtent l="0" t="0" r="7617" b="6983"/>
                  <wp:wrapThrough wrapText="bothSides">
                    <wp:wrapPolygon edited="0">
                      <wp:start x="0" y="0"/>
                      <wp:lineTo x="0" y="16224"/>
                      <wp:lineTo x="18358" y="20996"/>
                      <wp:lineTo x="20702" y="20996"/>
                      <wp:lineTo x="21483" y="17178"/>
                      <wp:lineTo x="21483" y="0"/>
                      <wp:lineTo x="0" y="0"/>
                    </wp:wrapPolygon>
                  </wp:wrapThrough>
                  <wp:docPr id="5" name="Bild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3" cy="43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</w:pPr>
            <w:r>
              <w:rPr>
                <w:rFonts w:cs="Arial"/>
                <w:noProof/>
                <w:szCs w:val="20"/>
                <w:lang w:eastAsia="de-D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187964</wp:posOffset>
                  </wp:positionH>
                  <wp:positionV relativeFrom="paragraph">
                    <wp:posOffset>34290</wp:posOffset>
                  </wp:positionV>
                  <wp:extent cx="1503675" cy="599444"/>
                  <wp:effectExtent l="0" t="0" r="1275" b="0"/>
                  <wp:wrapNone/>
                  <wp:docPr id="6" name="Bild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75" cy="59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61DF" w:rsidRDefault="000D61DF">
      <w:r>
        <w:br w:type="page"/>
      </w:r>
    </w:p>
    <w:tbl>
      <w:tblPr>
        <w:tblW w:w="946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333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9469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 w:rsidP="000D61DF">
            <w:pPr>
              <w:pStyle w:val="-Spiegelstrichliste"/>
              <w:numPr>
                <w:ilvl w:val="0"/>
                <w:numId w:val="0"/>
              </w:numPr>
            </w:pPr>
            <w:r>
              <w:rPr>
                <w:color w:val="FFFFFF"/>
                <w:sz w:val="32"/>
                <w:szCs w:val="32"/>
              </w:rPr>
              <w:lastRenderedPageBreak/>
              <w:t>Beschreibung: Setting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Anmerkung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before="100" w:after="100" w:line="240" w:lineRule="auto"/>
              <w:rPr>
                <w:rFonts w:eastAsia="Times New Roman"/>
                <w:szCs w:val="20"/>
                <w:lang w:eastAsia="de-DE"/>
              </w:rPr>
            </w:pPr>
            <w:r>
              <w:rPr>
                <w:rFonts w:eastAsia="Times New Roman"/>
                <w:szCs w:val="20"/>
                <w:lang w:eastAsia="de-DE"/>
              </w:rPr>
              <w:t>Die Spielebranche liefert zunehmend mehr Beispiele</w:t>
            </w:r>
            <w:r>
              <w:rPr>
                <w:rFonts w:eastAsia="Times New Roman"/>
                <w:szCs w:val="20"/>
                <w:lang w:eastAsia="de-DE"/>
              </w:rPr>
              <w:t xml:space="preserve"> in denen ethische und moralische Entscheidungen als zentrale Elemente in der Spielnarration und im interaktiven Spielerleben gut platziert sind. Beispiele finden sich nicht nur bei meist kleineren Entwi</w:t>
            </w:r>
            <w:bookmarkStart w:id="0" w:name="_GoBack"/>
            <w:bookmarkEnd w:id="0"/>
            <w:r>
              <w:rPr>
                <w:rFonts w:eastAsia="Times New Roman"/>
                <w:szCs w:val="20"/>
                <w:lang w:eastAsia="de-DE"/>
              </w:rPr>
              <w:t>cklerteams im Bereich der so genannten „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Serious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Games</w:t>
            </w:r>
            <w:r>
              <w:rPr>
                <w:rFonts w:eastAsia="Times New Roman"/>
                <w:szCs w:val="20"/>
                <w:lang w:eastAsia="de-DE"/>
              </w:rPr>
              <w:t xml:space="preserve">“ oder „News-Games“ sondern auch in kommerziell erfolgreichen Produktionen großer Studios. </w:t>
            </w:r>
            <w:r>
              <w:rPr>
                <w:rFonts w:eastAsia="Times New Roman"/>
                <w:szCs w:val="20"/>
                <w:lang w:eastAsia="de-DE"/>
              </w:rPr>
              <w:br/>
            </w:r>
            <w:r>
              <w:rPr>
                <w:rFonts w:eastAsia="Times New Roman"/>
                <w:szCs w:val="20"/>
                <w:lang w:eastAsia="de-DE"/>
              </w:rPr>
              <w:t>Den Spielenden wird eine „Meta-Ebene“ angeboten, auf der sie geplante oder getroffene Entscheidungen im Spiel auf ihre Auswirkungen hin betrachten können. Die Entsc</w:t>
            </w:r>
            <w:r>
              <w:rPr>
                <w:rFonts w:eastAsia="Times New Roman"/>
                <w:szCs w:val="20"/>
                <w:lang w:eastAsia="de-DE"/>
              </w:rPr>
              <w:t xml:space="preserve">heidungen im Spiel bleiben nicht folgenlos, können in aller Regel nachträglich nicht mehr verändert oder beispielsweise durch vorheriges Abspeichern wiederholt werden. </w:t>
            </w:r>
          </w:p>
        </w:tc>
      </w:tr>
    </w:tbl>
    <w:p w:rsidR="00F831FD" w:rsidRDefault="000D61DF" w:rsidP="000D61DF">
      <w:pPr>
        <w:tabs>
          <w:tab w:val="left" w:pos="424"/>
        </w:tabs>
        <w:spacing w:after="0" w:line="240" w:lineRule="auto"/>
      </w:pPr>
      <w:r>
        <w:tab/>
      </w:r>
    </w:p>
    <w:tbl>
      <w:tblPr>
        <w:tblW w:w="946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333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 w:rsidP="000D61DF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Spieleauswahl</w:t>
            </w:r>
          </w:p>
          <w:p w:rsidR="00F831FD" w:rsidRDefault="00F831FD" w:rsidP="000D61DF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spacing w:after="0" w:line="240" w:lineRule="auto"/>
              <w:rPr>
                <w:rFonts w:eastAsia="Times New Roman"/>
                <w:szCs w:val="20"/>
                <w:lang w:eastAsia="de-DE"/>
              </w:rPr>
            </w:pPr>
            <w:r>
              <w:rPr>
                <w:rFonts w:eastAsia="Times New Roman"/>
                <w:szCs w:val="20"/>
                <w:lang w:eastAsia="de-DE"/>
              </w:rPr>
              <w:t>Die Spiele-Auswahl wird durch die zu behandelnden Themen und Aspekte (</w:t>
            </w:r>
            <w:r>
              <w:rPr>
                <w:rFonts w:eastAsia="Times New Roman"/>
                <w:szCs w:val="20"/>
                <w:lang w:eastAsia="de-DE"/>
              </w:rPr>
              <w:t>z.B. Ethik, Moral, Kriegssetting, Gender etc.), durch die Verfügbarkeit (benötigte Spielehardware, Kosten für Spielesoftware etc.) und auch durch die jeweilige Zielgruppe bestimmt (u.a. Berücksichtigung des Jugendmedienschutzes in Form der USK-Altersfreiga</w:t>
            </w:r>
            <w:r>
              <w:rPr>
                <w:rFonts w:eastAsia="Times New Roman"/>
                <w:szCs w:val="20"/>
                <w:lang w:eastAsia="de-DE"/>
              </w:rPr>
              <w:t xml:space="preserve">be und auch der pädagogischen Alterseinschätzung). </w:t>
            </w:r>
            <w:r>
              <w:rPr>
                <w:rFonts w:eastAsia="Times New Roman"/>
                <w:szCs w:val="20"/>
                <w:lang w:eastAsia="de-DE"/>
              </w:rPr>
              <w:br/>
            </w:r>
            <w:r>
              <w:rPr>
                <w:rFonts w:eastAsia="Times New Roman"/>
                <w:szCs w:val="20"/>
                <w:lang w:eastAsia="de-DE"/>
              </w:rPr>
              <w:br/>
            </w:r>
            <w:r>
              <w:rPr>
                <w:rFonts w:eastAsia="Times New Roman"/>
                <w:szCs w:val="20"/>
                <w:lang w:eastAsia="de-DE"/>
              </w:rPr>
              <w:t>Die Jugendlichen können sehr gut in die Planung des Medieneinsatzes mit einbezogen werden, da sie in der Regel über sehr umfangreiche Spielekenntnisse verfügen und bei passendem Konzept hoch motiviert si</w:t>
            </w:r>
            <w:r>
              <w:rPr>
                <w:rFonts w:eastAsia="Times New Roman"/>
                <w:szCs w:val="20"/>
                <w:lang w:eastAsia="de-DE"/>
              </w:rPr>
              <w:t xml:space="preserve">nd, ihre Hard- und  Spielesoftware sowie ihre Spielerfahrungen einzubringen. </w:t>
            </w:r>
          </w:p>
        </w:tc>
      </w:tr>
    </w:tbl>
    <w:p w:rsidR="00F831FD" w:rsidRDefault="000D61DF" w:rsidP="000D61DF">
      <w:pPr>
        <w:tabs>
          <w:tab w:val="left" w:pos="496"/>
        </w:tabs>
        <w:spacing w:after="0" w:line="240" w:lineRule="auto"/>
      </w:pPr>
      <w:r>
        <w:tab/>
      </w:r>
    </w:p>
    <w:tbl>
      <w:tblPr>
        <w:tblW w:w="946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333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 w:rsidP="000D61DF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Technik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spacing w:after="0" w:line="240" w:lineRule="auto"/>
              <w:rPr>
                <w:rFonts w:eastAsia="Times New Roman"/>
                <w:szCs w:val="20"/>
                <w:lang w:eastAsia="de-DE"/>
              </w:rPr>
            </w:pPr>
            <w:r>
              <w:rPr>
                <w:rFonts w:eastAsia="Times New Roman"/>
                <w:szCs w:val="20"/>
                <w:lang w:eastAsia="de-DE"/>
              </w:rPr>
              <w:t>Als Argument gegen den Einsatz von digitalen Spielen im schulischen oder außerschulischen Kontext wird gerne auch die fehlende Verfügbarkeit geeigneter Endgeräte und pa</w:t>
            </w:r>
            <w:r>
              <w:rPr>
                <w:rFonts w:eastAsia="Times New Roman"/>
                <w:szCs w:val="20"/>
                <w:lang w:eastAsia="de-DE"/>
              </w:rPr>
              <w:t>ssender Spielesoftware angeführt. Für ein „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play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and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talk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together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“ bedarf es lediglich einer Spielstation, die sich wahlweise aus einem PC, einer Videospielkonsole oder einem Tablet mit ausgewählter Spielesoftware, Lautsprecher und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Beamer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zusammensetzt.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 w:rsidP="000D61DF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„</w:t>
            </w:r>
            <w:r>
              <w:rPr>
                <w:rFonts w:cs="Arial"/>
                <w:szCs w:val="20"/>
              </w:rPr>
              <w:t>Spielstation“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spacing w:after="0" w:line="240" w:lineRule="auto"/>
              <w:rPr>
                <w:rFonts w:eastAsia="Times New Roman"/>
                <w:szCs w:val="20"/>
                <w:lang w:eastAsia="de-DE"/>
              </w:rPr>
            </w:pPr>
            <w:r>
              <w:rPr>
                <w:rFonts w:eastAsia="Times New Roman"/>
                <w:szCs w:val="20"/>
                <w:lang w:eastAsia="de-DE"/>
              </w:rPr>
              <w:t>An einer „Spielstation“ sitzt ein/e Vorspieler/in und wartet auf Handlungsanweisungen vom „Tisch der Entscheidung“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„Tisch der Entscheidung“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Standard0"/>
            </w:pPr>
            <w:r>
              <w:t xml:space="preserve">Am „Tisch der Entscheidung“ sitzt eine Gruppe von drei bis fünf Jugendlichen, die sich über </w:t>
            </w:r>
            <w:r>
              <w:t>Spielhandlungen, allgemeine Strategien, konkrete Entscheidungen beispielsweise bei moralischen Dilemmata verständigen und ihr Votum als Handlungsanweisung an die „Spielstation“ weitergeben.</w:t>
            </w:r>
            <w:r>
              <w:br/>
            </w:r>
            <w:r>
              <w:t>Da je nach eingesetztem Spiel Aktionen im Spiel auch zeitnah gefor</w:t>
            </w:r>
            <w:r>
              <w:t>dert werden, muss allgemein abgestimmt werden, wie gespielt werden soll und wann und wie Anweisungen gegeben werden.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„Beobachtungsstation“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Standard0"/>
            </w:pPr>
            <w:r>
              <w:t>Die übrigen Jugendlichen beobachten die Diskussionen am „Tisch der Entscheidung“, die Umsetzung durch die „Spielstat</w:t>
            </w:r>
            <w:r>
              <w:t>ion“ und die Auswirkungen der Entscheidungen und Umsetzungen auf das Spielgeschehen. Die Aufteilung in kleinere Beobachtungsgruppen, die für einzelne Bereiche verantwortlich sind, kann sinnvoll sein.</w:t>
            </w:r>
            <w:r>
              <w:br/>
            </w:r>
            <w:r>
              <w:t>Hierfür können folgende Arbeitsblätter genutzt und bei B</w:t>
            </w:r>
            <w:r>
              <w:t>edarf entsprechend angepasst werden:</w:t>
            </w:r>
            <w:r>
              <w:br/>
            </w:r>
            <w:r>
              <w:t>1. Arbeitsblatt: Beobachtungsgruppe „Tisch der Entscheidung“</w:t>
            </w:r>
          </w:p>
          <w:p w:rsidR="00F831FD" w:rsidRDefault="00776D75">
            <w:pPr>
              <w:pStyle w:val="Standard0"/>
            </w:pPr>
            <w:r>
              <w:t>2. Arbeitsblatt: Beobachtungsgruppe „Spielstation“</w:t>
            </w:r>
          </w:p>
          <w:p w:rsidR="00F831FD" w:rsidRDefault="00776D75">
            <w:pPr>
              <w:pStyle w:val="Standard0"/>
            </w:pPr>
            <w:r>
              <w:t>3. Arbeitsblatt: Beobachtungsgruppe „Spielgeschehen“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Aufteilung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Standard0"/>
            </w:pPr>
            <w:r>
              <w:t>Die Verteilung der einzelnen Rollen und Po</w:t>
            </w:r>
            <w:r>
              <w:t>sitionen sowie die genauen Arbeitsteilungen erfolgt im Vorfeld.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Vorbereitung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spacing w:after="0" w:line="240" w:lineRule="auto"/>
              <w:rPr>
                <w:rFonts w:eastAsia="Times New Roman"/>
                <w:szCs w:val="20"/>
                <w:lang w:eastAsia="de-DE"/>
              </w:rPr>
            </w:pPr>
            <w:r>
              <w:rPr>
                <w:rFonts w:eastAsia="Times New Roman"/>
                <w:szCs w:val="20"/>
                <w:lang w:eastAsia="de-DE"/>
              </w:rPr>
              <w:t>Zur Vorbereitung eines „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play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and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talk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together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>“ gehört auch eine Vorstellung des Spiels samt Grundeinweisung in Spielgeschichte, Spielregeln und Spielsteuerung.</w:t>
            </w:r>
            <w:r>
              <w:rPr>
                <w:rFonts w:eastAsia="Times New Roman"/>
                <w:szCs w:val="20"/>
                <w:lang w:eastAsia="de-DE"/>
              </w:rPr>
              <w:br/>
            </w:r>
            <w:r>
              <w:rPr>
                <w:rFonts w:eastAsia="Times New Roman"/>
                <w:szCs w:val="20"/>
                <w:lang w:eastAsia="de-DE"/>
              </w:rPr>
              <w:t>Bei entsprechend</w:t>
            </w:r>
            <w:r>
              <w:rPr>
                <w:rFonts w:eastAsia="Times New Roman"/>
                <w:szCs w:val="20"/>
                <w:lang w:eastAsia="de-DE"/>
              </w:rPr>
              <w:t>er Aufgabenverteilung könnte dies vom „Vorspieler“ / von der „Vorspielerin“ übernommen werden.</w:t>
            </w:r>
          </w:p>
        </w:tc>
      </w:tr>
    </w:tbl>
    <w:p w:rsidR="000D61DF" w:rsidRDefault="000D61DF">
      <w:r>
        <w:br w:type="page"/>
      </w:r>
    </w:p>
    <w:tbl>
      <w:tblPr>
        <w:tblW w:w="946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333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9469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 w:rsidP="000D61DF">
            <w:pPr>
              <w:pStyle w:val="-Spiegelstrichliste"/>
              <w:numPr>
                <w:ilvl w:val="0"/>
                <w:numId w:val="0"/>
              </w:numPr>
            </w:pPr>
            <w:r>
              <w:rPr>
                <w:color w:val="FFFFFF"/>
                <w:sz w:val="32"/>
                <w:szCs w:val="32"/>
              </w:rPr>
              <w:lastRenderedPageBreak/>
              <w:t>Beschreibung: Ablauf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Ablauf Variante 1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pStyle w:val="-Spiegelstrich"/>
              <w:ind w:left="308" w:hanging="284"/>
            </w:pPr>
            <w:r>
              <w:t>Eine Unterrichtsstunde (als Beispiel) erfolgt wie in der Übersicht dargestellt.</w:t>
            </w:r>
            <w:r>
              <w:br/>
            </w:r>
            <w:r>
              <w:t xml:space="preserve">Nach der Vorstellung des Ablaufs, der </w:t>
            </w:r>
            <w:r>
              <w:t xml:space="preserve">Einteilung in Gruppen und Verteilung der Aufgaben erfolgt die Vorstellung des Spiels. </w:t>
            </w:r>
          </w:p>
          <w:p w:rsidR="00F831FD" w:rsidRDefault="00776D75" w:rsidP="000D61DF">
            <w:pPr>
              <w:pStyle w:val="-Spiegelstrich"/>
              <w:ind w:left="308" w:hanging="284"/>
            </w:pPr>
            <w:r>
              <w:t>Anschließend wird das Spiel von Beginn an oder von vorbereiteten Spielspeicherständen aus gestartet. Entweder wird von hier aus weiter gespielt oder es werden nach einer</w:t>
            </w:r>
            <w:r>
              <w:t xml:space="preserve"> gespielten Szene andere Speicherstände und neue Szenen gespielt.</w:t>
            </w:r>
          </w:p>
          <w:p w:rsidR="00F831FD" w:rsidRDefault="00776D75" w:rsidP="000D61DF">
            <w:pPr>
              <w:pStyle w:val="-Spiegelstrich"/>
              <w:ind w:left="308" w:hanging="284"/>
            </w:pPr>
            <w:r>
              <w:t>Nach der Spielphase gibt es eine kurze Feedback- bzw. Blitzlichtrunde für den Vorspieler / die Vorspielerin und die Jugendlichen vom „Tisch der Entscheidung“. Daran schließen die Beobachtung</w:t>
            </w:r>
            <w:r>
              <w:t xml:space="preserve">en aus den Beobachtungsgruppen an. </w:t>
            </w:r>
          </w:p>
          <w:p w:rsidR="00F831FD" w:rsidRDefault="00776D75" w:rsidP="000D61DF">
            <w:pPr>
              <w:pStyle w:val="-Spiegelstrich"/>
              <w:ind w:left="308" w:hanging="284"/>
            </w:pPr>
            <w:r>
              <w:t xml:space="preserve">Eine Anknüpfung oder Übertragung der bisher erarbeiteten Aspekte erfolgt in der letzten Phase. Je nach Kontext, in dem die Methode eingesetzt wird, kann von Lehrer*innen, </w:t>
            </w:r>
            <w:proofErr w:type="spellStart"/>
            <w:r>
              <w:t>Pädagog</w:t>
            </w:r>
            <w:proofErr w:type="spellEnd"/>
            <w:r>
              <w:t>*innen oder den Jugendlichen selber ein Le</w:t>
            </w:r>
            <w:r>
              <w:t xml:space="preserve">rn- oder Lebensweltbezug hergestellt und mit allen gemeinsam erörtert werden. </w:t>
            </w:r>
          </w:p>
        </w:tc>
      </w:tr>
    </w:tbl>
    <w:p w:rsidR="00F831FD" w:rsidRDefault="00F831FD"/>
    <w:tbl>
      <w:tblPr>
        <w:tblW w:w="948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4055"/>
        <w:gridCol w:w="2040"/>
        <w:gridCol w:w="2121"/>
      </w:tblGrid>
      <w:tr w:rsidR="00F831FD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12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color w:val="FFFFFF"/>
                <w:szCs w:val="20"/>
              </w:rPr>
            </w:pPr>
            <w:r>
              <w:rPr>
                <w:rFonts w:cs="Arial"/>
                <w:color w:val="FFFFFF"/>
                <w:szCs w:val="20"/>
              </w:rPr>
              <w:t>Dauer</w:t>
            </w:r>
          </w:p>
        </w:tc>
        <w:tc>
          <w:tcPr>
            <w:tcW w:w="405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color w:val="FFFFFF"/>
                <w:szCs w:val="20"/>
              </w:rPr>
            </w:pPr>
            <w:r>
              <w:rPr>
                <w:rFonts w:cs="Arial"/>
                <w:color w:val="FFFFFF"/>
                <w:szCs w:val="20"/>
              </w:rPr>
              <w:t>Inhalt</w:t>
            </w:r>
          </w:p>
        </w:tc>
        <w:tc>
          <w:tcPr>
            <w:tcW w:w="204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color w:val="FFFFFF"/>
                <w:szCs w:val="20"/>
              </w:rPr>
            </w:pPr>
            <w:r>
              <w:rPr>
                <w:rFonts w:cs="Arial"/>
                <w:color w:val="FFFFFF"/>
                <w:szCs w:val="20"/>
              </w:rPr>
              <w:t>Arbeitsform/Methode</w:t>
            </w:r>
          </w:p>
        </w:tc>
        <w:tc>
          <w:tcPr>
            <w:tcW w:w="212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after="0" w:line="240" w:lineRule="auto"/>
              <w:rPr>
                <w:rFonts w:cs="Arial"/>
                <w:color w:val="FFFFFF"/>
                <w:szCs w:val="20"/>
              </w:rPr>
            </w:pPr>
            <w:r>
              <w:rPr>
                <w:rFonts w:cs="Arial"/>
                <w:color w:val="FFFFFF"/>
                <w:szCs w:val="20"/>
              </w:rPr>
              <w:t>Arbeitsmaterial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15 Minuten</w:t>
            </w:r>
          </w:p>
        </w:tc>
        <w:tc>
          <w:tcPr>
            <w:tcW w:w="405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pStyle w:val="-Spiegelstrichliste"/>
            </w:pPr>
            <w:r>
              <w:t>Vorstellung der Methode</w:t>
            </w:r>
          </w:p>
          <w:p w:rsidR="00F831FD" w:rsidRDefault="00776D75">
            <w:pPr>
              <w:pStyle w:val="-Spiegelstrichliste"/>
            </w:pPr>
            <w:r>
              <w:t xml:space="preserve">Verteilung der Aufgaben / Gruppenaufteilung </w:t>
            </w:r>
          </w:p>
          <w:p w:rsidR="00F831FD" w:rsidRDefault="00776D75">
            <w:pPr>
              <w:pStyle w:val="-Spiegelstrichliste"/>
            </w:pPr>
            <w:r>
              <w:t>Spielvorstellung</w:t>
            </w:r>
          </w:p>
        </w:tc>
        <w:tc>
          <w:tcPr>
            <w:tcW w:w="204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212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30 Minuten</w:t>
            </w:r>
          </w:p>
        </w:tc>
        <w:tc>
          <w:tcPr>
            <w:tcW w:w="405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pStyle w:val="-Spiegelstrichliste"/>
            </w:pPr>
            <w:r>
              <w:t>Spiel spielen</w:t>
            </w:r>
          </w:p>
          <w:p w:rsidR="00F831FD" w:rsidRDefault="00776D75">
            <w:pPr>
              <w:pStyle w:val="-Spiegelstrichliste"/>
            </w:pPr>
            <w:r>
              <w:t>Beobachtungen der Kommunikation und des Spielgeschehens</w:t>
            </w:r>
          </w:p>
        </w:tc>
        <w:tc>
          <w:tcPr>
            <w:tcW w:w="204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Gruppenarbeit / Spielen / Entscheiden</w:t>
            </w:r>
          </w:p>
        </w:tc>
        <w:tc>
          <w:tcPr>
            <w:tcW w:w="212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Arbeitsblatt 1,</w:t>
            </w:r>
          </w:p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Arbeitsblatt 2,</w:t>
            </w:r>
          </w:p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Arbeitsblatt 3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15 Minuten</w:t>
            </w:r>
          </w:p>
        </w:tc>
        <w:tc>
          <w:tcPr>
            <w:tcW w:w="405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pStyle w:val="-Spiegelstrichliste"/>
            </w:pPr>
            <w:r>
              <w:t>Wie war es für die Jugendlichen am „Tisch der Entscheidung“?</w:t>
            </w:r>
          </w:p>
          <w:p w:rsidR="00F831FD" w:rsidRDefault="00776D75">
            <w:pPr>
              <w:pStyle w:val="-Spiegelstrichliste"/>
            </w:pPr>
            <w:r>
              <w:t>Wie war es für den Vorspieler / die Vorspi</w:t>
            </w:r>
            <w:r>
              <w:t>elerin?</w:t>
            </w:r>
          </w:p>
          <w:p w:rsidR="00F831FD" w:rsidRDefault="00776D75">
            <w:pPr>
              <w:pStyle w:val="-Spiegelstrichliste"/>
            </w:pPr>
            <w:r>
              <w:t>Vorstellung der Beobachtungen aus den Beobachtungsgruppen</w:t>
            </w:r>
          </w:p>
        </w:tc>
        <w:tc>
          <w:tcPr>
            <w:tcW w:w="204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Blitzlicht / kurzes Feedback / </w:t>
            </w:r>
          </w:p>
        </w:tc>
        <w:tc>
          <w:tcPr>
            <w:tcW w:w="212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30 Min.</w:t>
            </w:r>
          </w:p>
        </w:tc>
        <w:tc>
          <w:tcPr>
            <w:tcW w:w="405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pStyle w:val="-Spiegelstrichliste"/>
            </w:pPr>
            <w:r>
              <w:rPr>
                <w:szCs w:val="20"/>
              </w:rPr>
              <w:t>Diskussion</w:t>
            </w:r>
          </w:p>
          <w:p w:rsidR="00F831FD" w:rsidRDefault="00776D75">
            <w:pPr>
              <w:pStyle w:val="-Spiegelstrichliste"/>
            </w:pPr>
            <w:r>
              <w:rPr>
                <w:szCs w:val="20"/>
              </w:rPr>
              <w:t>Übertragung der erarbeiteten Aspekte auf ausgewählte und vorbereitete Themen mit konkretem Lern- oder Lebensweltbezug</w:t>
            </w:r>
          </w:p>
        </w:tc>
        <w:tc>
          <w:tcPr>
            <w:tcW w:w="204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Diskussion /</w:t>
            </w:r>
          </w:p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Input </w:t>
            </w:r>
            <w:r>
              <w:rPr>
                <w:rFonts w:cs="Arial"/>
                <w:szCs w:val="20"/>
              </w:rPr>
              <w:t xml:space="preserve">(durch Lehrer*innen) / Plenum </w:t>
            </w:r>
          </w:p>
        </w:tc>
        <w:tc>
          <w:tcPr>
            <w:tcW w:w="212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9487" w:type="dxa"/>
            <w:gridSpan w:val="4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90 Minuten</w:t>
            </w:r>
          </w:p>
        </w:tc>
      </w:tr>
    </w:tbl>
    <w:p w:rsidR="00F831FD" w:rsidRDefault="00F831FD"/>
    <w:tbl>
      <w:tblPr>
        <w:tblW w:w="946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333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Ablauf Variante 2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spacing w:after="0" w:line="240" w:lineRule="auto"/>
              <w:rPr>
                <w:rFonts w:eastAsia="Times New Roman"/>
                <w:szCs w:val="20"/>
                <w:lang w:eastAsia="de-DE"/>
              </w:rPr>
            </w:pPr>
            <w:r>
              <w:rPr>
                <w:rFonts w:eastAsia="Times New Roman"/>
                <w:szCs w:val="20"/>
                <w:lang w:eastAsia="de-DE"/>
              </w:rPr>
              <w:t xml:space="preserve">Bei dieser Variante wird die Spiel-, Entscheidungs- und Beobachtungsphase wiederholt. Die sehr wahrscheinlich unterschiedlichen Spielergebnisse können mit einander verglichen und diskutiert </w:t>
            </w:r>
            <w:r>
              <w:rPr>
                <w:rFonts w:eastAsia="Times New Roman"/>
                <w:szCs w:val="20"/>
                <w:lang w:eastAsia="de-DE"/>
              </w:rPr>
              <w:t xml:space="preserve">werden. 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Ablauf Variante 2a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spacing w:after="0" w:line="240" w:lineRule="auto"/>
              <w:rPr>
                <w:rFonts w:eastAsia="Times New Roman"/>
                <w:szCs w:val="20"/>
                <w:lang w:eastAsia="de-DE"/>
              </w:rPr>
            </w:pPr>
            <w:r>
              <w:rPr>
                <w:rFonts w:eastAsia="Times New Roman"/>
                <w:szCs w:val="20"/>
                <w:lang w:eastAsia="de-DE"/>
              </w:rPr>
              <w:t xml:space="preserve">Bei dieser Variante wird das Setting (bei entsprechend höherem Ressourcenaufwand) direkt verdoppelt und es finden zwei Spiele parallel statt. Dies bedeutet, dass es zwei „Spielstationen“, zwei „Tische der Entscheidung“ und </w:t>
            </w:r>
            <w:r>
              <w:rPr>
                <w:rFonts w:eastAsia="Times New Roman"/>
                <w:szCs w:val="20"/>
                <w:lang w:eastAsia="de-DE"/>
              </w:rPr>
              <w:t>entsprechend viele Beobachtungsgruppen geben muss.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3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Ablauf Variante 3</w:t>
            </w:r>
          </w:p>
        </w:tc>
        <w:tc>
          <w:tcPr>
            <w:tcW w:w="733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 w:rsidP="000D61DF">
            <w:pPr>
              <w:spacing w:after="0" w:line="240" w:lineRule="auto"/>
            </w:pPr>
            <w:r>
              <w:rPr>
                <w:rFonts w:eastAsia="Times New Roman"/>
                <w:szCs w:val="20"/>
                <w:lang w:eastAsia="de-DE"/>
              </w:rPr>
              <w:t xml:space="preserve">Bei dieser Variante wird das Spiel mit ausgewählten Spielszenarien beispielsweise von einem Lehrer vorgestellt und vorgespielt. Entscheidungen werden über „Reinrufen“ oder ein </w:t>
            </w:r>
            <w:r>
              <w:rPr>
                <w:rFonts w:eastAsia="Times New Roman"/>
                <w:szCs w:val="20"/>
                <w:lang w:eastAsia="de-DE"/>
              </w:rPr>
              <w:t xml:space="preserve">„Stimmungsbild“ direkt bei den Jugendlichen erfragt und umgesetzt. </w:t>
            </w:r>
            <w:r>
              <w:rPr>
                <w:rFonts w:eastAsia="Times New Roman"/>
                <w:szCs w:val="20"/>
                <w:lang w:eastAsia="de-DE"/>
              </w:rPr>
              <w:br/>
            </w:r>
            <w:r>
              <w:rPr>
                <w:rFonts w:eastAsia="Times New Roman"/>
                <w:szCs w:val="20"/>
                <w:lang w:eastAsia="de-DE"/>
              </w:rPr>
              <w:t xml:space="preserve">Ein gut dokumentiertes Beispiel des norwegischen Lehrers Tobias </w:t>
            </w:r>
            <w:proofErr w:type="spellStart"/>
            <w:r>
              <w:rPr>
                <w:rFonts w:ascii="Arial" w:eastAsia="Times New Roman" w:hAnsi="Arial" w:cs="Arial"/>
                <w:szCs w:val="20"/>
                <w:lang w:eastAsia="de-DE"/>
              </w:rPr>
              <w:t>Staaby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(das eingesetztes Spiel „The Walking Dead“ hat eine USK 18-Alterskennzeichnug) ist hier anschaulich dokumentiert:</w:t>
            </w:r>
            <w:r>
              <w:rPr>
                <w:rFonts w:eastAsia="Times New Roman"/>
                <w:szCs w:val="20"/>
                <w:lang w:eastAsia="de-DE"/>
              </w:rPr>
              <w:br/>
            </w:r>
            <w:r>
              <w:rPr>
                <w:rFonts w:eastAsia="Times New Roman"/>
                <w:szCs w:val="20"/>
                <w:lang w:eastAsia="de-DE"/>
              </w:rPr>
              <w:t>„Th</w:t>
            </w:r>
            <w:r>
              <w:rPr>
                <w:rFonts w:eastAsia="Times New Roman"/>
                <w:szCs w:val="20"/>
                <w:lang w:eastAsia="de-DE"/>
              </w:rPr>
              <w:t xml:space="preserve">e Walking Dead in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school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–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moral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philosophy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after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the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eastAsia="Times New Roman"/>
                <w:szCs w:val="20"/>
                <w:lang w:eastAsia="de-DE"/>
              </w:rPr>
              <w:t>apocalypse</w:t>
            </w:r>
            <w:proofErr w:type="spellEnd"/>
            <w:r>
              <w:rPr>
                <w:rFonts w:eastAsia="Times New Roman"/>
                <w:szCs w:val="20"/>
                <w:lang w:eastAsia="de-DE"/>
              </w:rPr>
              <w:t xml:space="preserve">“ von </w:t>
            </w:r>
            <w:hyperlink r:id="rId11" w:history="1">
              <w:r>
                <w:rPr>
                  <w:rStyle w:val="Hyperlink"/>
                  <w:rFonts w:ascii="Arial" w:eastAsia="Times New Roman" w:hAnsi="Arial" w:cs="Arial"/>
                  <w:szCs w:val="20"/>
                  <w:lang w:eastAsia="de-DE"/>
                </w:rPr>
                <w:t>https://iktipraksis.iktsenteret.no/sites/default/files/files/TWD_English.pdf</w:t>
              </w:r>
            </w:hyperlink>
          </w:p>
        </w:tc>
      </w:tr>
    </w:tbl>
    <w:p w:rsidR="00F831FD" w:rsidRDefault="00F831FD"/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7371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</w:pPr>
            <w:r>
              <w:rPr>
                <w:color w:val="FFFFFF"/>
                <w:sz w:val="32"/>
                <w:szCs w:val="32"/>
              </w:rPr>
              <w:lastRenderedPageBreak/>
              <w:t>Arbeitsblatt:</w:t>
            </w:r>
            <w:r>
              <w:rPr>
                <w:color w:val="FFFFFF"/>
                <w:sz w:val="32"/>
                <w:szCs w:val="32"/>
              </w:rPr>
              <w:t xml:space="preserve"> Beobachtungsgruppe „Tisch der Entscheidung“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866"/>
        </w:trPr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before="60" w:after="6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Aufgabe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autoSpaceDE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Haltet für die spätere Auswertung im Plenum fest, was ihr hinsichtlich der Kommunikation und Ergebnisse am „Tisch der Entscheidung“ beobachtet habt.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1956"/>
        </w:trPr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-Spiegelstrichliste"/>
              <w:numPr>
                <w:ilvl w:val="0"/>
                <w:numId w:val="3"/>
              </w:numPr>
            </w:pPr>
            <w:r>
              <w:rPr>
                <w:rFonts w:cs="AppleSystemUIFont"/>
                <w:color w:val="353535"/>
                <w:szCs w:val="20"/>
                <w:lang w:eastAsia="de-DE"/>
              </w:rPr>
              <w:t xml:space="preserve">Gab es eine grundlegende Strategie, auf die sich </w:t>
            </w:r>
            <w:r>
              <w:rPr>
                <w:rFonts w:cs="AppleSystemUIFont"/>
                <w:color w:val="353535"/>
                <w:szCs w:val="20"/>
                <w:lang w:eastAsia="de-DE"/>
              </w:rPr>
              <w:t>verständigt wurde?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numPr>
                <w:ilvl w:val="0"/>
                <w:numId w:val="3"/>
              </w:numPr>
              <w:autoSpaceDE w:val="0"/>
              <w:spacing w:after="0" w:line="240" w:lineRule="auto"/>
            </w:pPr>
            <w:r>
              <w:rPr>
                <w:szCs w:val="20"/>
                <w:lang w:eastAsia="de-DE"/>
              </w:rPr>
              <w:t>Welche Entscheidungen wurden besonders lange diskutiert?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Listenabsatz"/>
              <w:widowControl w:val="0"/>
              <w:numPr>
                <w:ilvl w:val="0"/>
                <w:numId w:val="3"/>
              </w:numPr>
              <w:autoSpaceDE w:val="0"/>
              <w:spacing w:after="0" w:line="240" w:lineRule="auto"/>
            </w:pPr>
            <w:r>
              <w:rPr>
                <w:rFonts w:cs="AppleSystemUIFont"/>
                <w:color w:val="353535"/>
                <w:szCs w:val="20"/>
                <w:lang w:eastAsia="de-DE"/>
              </w:rPr>
              <w:t>Wurden die Auswirkungen von getroffenen Entscheidungen und Strategien im Spiel analysiert?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numPr>
                <w:ilvl w:val="0"/>
                <w:numId w:val="3"/>
              </w:numPr>
              <w:autoSpaceDE w:val="0"/>
              <w:spacing w:after="0" w:line="240" w:lineRule="auto"/>
            </w:pPr>
            <w:r>
              <w:rPr>
                <w:rFonts w:cs="AppleSystemUIFont"/>
                <w:color w:val="353535"/>
                <w:szCs w:val="20"/>
                <w:lang w:eastAsia="de-DE"/>
              </w:rPr>
              <w:t xml:space="preserve">Gab es Personen am „Tisch der Entscheidung“, die besonders </w:t>
            </w:r>
            <w:r>
              <w:rPr>
                <w:rFonts w:cs="AppleSystemUIFont"/>
                <w:color w:val="353535"/>
                <w:szCs w:val="20"/>
                <w:lang w:eastAsia="de-DE"/>
              </w:rPr>
              <w:t>aktiv oder passiv verhalten haben?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numPr>
                <w:ilvl w:val="0"/>
                <w:numId w:val="3"/>
              </w:numPr>
              <w:autoSpaceDE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Platz für weitere Anmerkungen…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widowControl w:val="0"/>
              <w:autoSpaceDE w:val="0"/>
              <w:spacing w:after="0" w:line="240" w:lineRule="auto"/>
              <w:rPr>
                <w:rFonts w:cs="AppleSystemUIFont"/>
                <w:color w:val="353535"/>
                <w:szCs w:val="20"/>
                <w:lang w:eastAsia="de-DE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</w:tbl>
    <w:p w:rsidR="008C43BF" w:rsidRDefault="008C43BF">
      <w:r>
        <w:br w:type="page"/>
      </w: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7371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</w:pPr>
            <w:r>
              <w:rPr>
                <w:color w:val="FFFFFF"/>
                <w:sz w:val="32"/>
                <w:szCs w:val="32"/>
              </w:rPr>
              <w:lastRenderedPageBreak/>
              <w:t xml:space="preserve">Arbeitsblatt: Beobachtungsgruppe „Spielstation“ 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866"/>
        </w:trPr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before="60" w:after="6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Aufgabe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autoSpaceDE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Haltet für die spätere Auswertung im Plenum fest, was ihr an der „Spielstation“ beobachtet habt.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1956"/>
        </w:trPr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-Spiegelstrichliste"/>
              <w:numPr>
                <w:ilvl w:val="0"/>
                <w:numId w:val="4"/>
              </w:numPr>
            </w:pPr>
            <w:r>
              <w:rPr>
                <w:rFonts w:cs="AppleSystemUIFont"/>
                <w:color w:val="353535"/>
                <w:szCs w:val="20"/>
                <w:lang w:eastAsia="de-DE"/>
              </w:rPr>
              <w:t>Konnten die Anweisungen, die vom „Tisch der Entscheidung“ kamen, gut umgesetzt werden?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  <w:p w:rsidR="00F831FD" w:rsidRDefault="00F831FD">
            <w:pPr>
              <w:pStyle w:val="Listenabsatz"/>
              <w:spacing w:after="0" w:line="240" w:lineRule="auto"/>
              <w:ind w:left="33"/>
              <w:rPr>
                <w:rFonts w:cs="Arial"/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numPr>
                <w:ilvl w:val="0"/>
                <w:numId w:val="4"/>
              </w:numPr>
              <w:autoSpaceDE w:val="0"/>
              <w:spacing w:after="0" w:line="240" w:lineRule="auto"/>
            </w:pPr>
            <w:r>
              <w:rPr>
                <w:szCs w:val="20"/>
                <w:lang w:eastAsia="de-DE"/>
              </w:rPr>
              <w:t>In welchen Situationen wurde vom Vorspieler / von der Vorspielerin ohne Anweisung und Rücksprache eine gravierende Entscheidung getroffen?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Listenabsatz"/>
              <w:widowControl w:val="0"/>
              <w:numPr>
                <w:ilvl w:val="0"/>
                <w:numId w:val="4"/>
              </w:numPr>
              <w:autoSpaceDE w:val="0"/>
              <w:spacing w:after="0" w:line="240" w:lineRule="auto"/>
            </w:pPr>
            <w:r>
              <w:rPr>
                <w:rFonts w:cs="AppleSystemUIFont"/>
                <w:color w:val="353535"/>
                <w:szCs w:val="20"/>
                <w:lang w:eastAsia="de-DE"/>
              </w:rPr>
              <w:t xml:space="preserve">War der </w:t>
            </w:r>
            <w:r>
              <w:rPr>
                <w:szCs w:val="20"/>
                <w:lang w:eastAsia="de-DE"/>
              </w:rPr>
              <w:t>Vorspieler / die Vorspielerin eurer Meinung nach eher gelassen, gestresst oder genervt?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numPr>
                <w:ilvl w:val="0"/>
                <w:numId w:val="4"/>
              </w:numPr>
              <w:autoSpaceDE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Platz für weitere Anmerkungen…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widowControl w:val="0"/>
              <w:autoSpaceDE w:val="0"/>
              <w:spacing w:after="0" w:line="240" w:lineRule="auto"/>
              <w:rPr>
                <w:rFonts w:cs="AppleSystemUIFont"/>
                <w:color w:val="353535"/>
                <w:szCs w:val="20"/>
                <w:lang w:eastAsia="de-DE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</w:tbl>
    <w:p w:rsidR="008C43BF" w:rsidRDefault="008C43BF">
      <w:r>
        <w:br w:type="page"/>
      </w: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7371"/>
      </w:tblGrid>
      <w:tr w:rsidR="00F831FD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2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376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776D75">
            <w:pPr>
              <w:spacing w:after="0" w:line="240" w:lineRule="auto"/>
            </w:pPr>
            <w:r>
              <w:rPr>
                <w:color w:val="FFFFFF"/>
                <w:sz w:val="32"/>
                <w:szCs w:val="32"/>
              </w:rPr>
              <w:lastRenderedPageBreak/>
              <w:t xml:space="preserve">Arbeitsblatt: Beobachtungsgruppe „Spielgeschehen“ 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866"/>
        </w:trPr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spacing w:before="60" w:after="6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Aufgabe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autoSpaceDE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Haltet für die spätere Auswertung im </w:t>
            </w:r>
            <w:r>
              <w:rPr>
                <w:szCs w:val="20"/>
              </w:rPr>
              <w:t>Plenum fest, welche Entscheidungen den Spielverlauf in welche Richtung beeinflusst haben.</w:t>
            </w:r>
          </w:p>
        </w:tc>
      </w:tr>
      <w:tr w:rsidR="00F831FD">
        <w:tblPrEx>
          <w:tblCellMar>
            <w:top w:w="0" w:type="dxa"/>
            <w:bottom w:w="0" w:type="dxa"/>
          </w:tblCellMar>
        </w:tblPrEx>
        <w:trPr>
          <w:trHeight w:val="1956"/>
        </w:trPr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-Spiegelstrichliste"/>
              <w:numPr>
                <w:ilvl w:val="0"/>
                <w:numId w:val="5"/>
              </w:numPr>
            </w:pPr>
            <w:r>
              <w:rPr>
                <w:szCs w:val="20"/>
                <w:lang w:eastAsia="de-DE"/>
              </w:rPr>
              <w:t>Führt stichwortartig alle Situationen auf, an denen sich der Spielverlauf eurer Meinung nach je nach Entscheidung in unterschiedliche Richtungen entwickeln konnte.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numPr>
                <w:ilvl w:val="0"/>
                <w:numId w:val="5"/>
              </w:numPr>
              <w:autoSpaceDE w:val="0"/>
              <w:spacing w:after="0" w:line="240" w:lineRule="auto"/>
            </w:pPr>
            <w:r>
              <w:rPr>
                <w:rFonts w:cs="AppleSystemUIFont"/>
                <w:color w:val="353535"/>
                <w:szCs w:val="20"/>
                <w:lang w:eastAsia="de-DE"/>
              </w:rPr>
              <w:t>Welche Entscheidungen konntet ihr beobachten, die den Spielverlauf beeinflusst haben?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pStyle w:val="Listenabsatz"/>
              <w:widowControl w:val="0"/>
              <w:numPr>
                <w:ilvl w:val="0"/>
                <w:numId w:val="5"/>
              </w:numPr>
              <w:autoSpaceDE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Wie wurde sich unter Gesichtspunkten von Moral, Werten und Normen im Spiel verhalten?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szCs w:val="20"/>
              </w:rPr>
            </w:pPr>
          </w:p>
        </w:tc>
      </w:tr>
      <w:tr w:rsidR="00F831FD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776D75">
            <w:pPr>
              <w:widowControl w:val="0"/>
              <w:numPr>
                <w:ilvl w:val="0"/>
                <w:numId w:val="5"/>
              </w:numPr>
              <w:autoSpaceDE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Platz für weitere Anmerkungen…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1FD" w:rsidRDefault="00F831FD">
            <w:pPr>
              <w:widowControl w:val="0"/>
              <w:autoSpaceDE w:val="0"/>
              <w:spacing w:after="0" w:line="240" w:lineRule="auto"/>
              <w:rPr>
                <w:rFonts w:cs="AppleSystemUIFont"/>
                <w:color w:val="353535"/>
                <w:szCs w:val="20"/>
                <w:lang w:eastAsia="de-DE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8C43BF" w:rsidRDefault="008C43BF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8C43BF" w:rsidRDefault="008C43BF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  <w:p w:rsidR="00F831FD" w:rsidRDefault="00F831FD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</w:tbl>
    <w:p w:rsidR="00F831FD" w:rsidRDefault="00F831FD">
      <w:pPr>
        <w:suppressAutoHyphens w:val="0"/>
      </w:pPr>
    </w:p>
    <w:sectPr w:rsidR="00F831FD" w:rsidSect="000D61DF">
      <w:headerReference w:type="default" r:id="rId12"/>
      <w:footerReference w:type="default" r:id="rId13"/>
      <w:pgSz w:w="11906" w:h="16838"/>
      <w:pgMar w:top="1560" w:right="991" w:bottom="284" w:left="1418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D75" w:rsidRDefault="00776D75">
      <w:pPr>
        <w:spacing w:after="0" w:line="240" w:lineRule="auto"/>
      </w:pPr>
      <w:r>
        <w:separator/>
      </w:r>
    </w:p>
  </w:endnote>
  <w:endnote w:type="continuationSeparator" w:id="0">
    <w:p w:rsidR="00776D75" w:rsidRDefault="0077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-142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096"/>
      <w:gridCol w:w="3685"/>
    </w:tblGrid>
    <w:tr w:rsidR="00875406">
      <w:tblPrEx>
        <w:tblCellMar>
          <w:top w:w="0" w:type="dxa"/>
          <w:bottom w:w="0" w:type="dxa"/>
        </w:tblCellMar>
      </w:tblPrEx>
      <w:tc>
        <w:tcPr>
          <w:tcW w:w="6096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5406" w:rsidRDefault="00776D75">
          <w:pPr>
            <w:pStyle w:val="Fuzeile"/>
            <w:tabs>
              <w:tab w:val="clear" w:pos="9072"/>
              <w:tab w:val="right" w:pos="9356"/>
            </w:tabs>
            <w:textAlignment w:val="auto"/>
          </w:pPr>
          <w:r>
            <w:rPr>
              <w:noProof/>
              <w:sz w:val="24"/>
              <w:szCs w:val="24"/>
              <w:lang w:eastAsia="de-DE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833759</wp:posOffset>
                </wp:positionH>
                <wp:positionV relativeFrom="paragraph">
                  <wp:posOffset>10799</wp:posOffset>
                </wp:positionV>
                <wp:extent cx="1569082" cy="449583"/>
                <wp:effectExtent l="0" t="0" r="0" b="7617"/>
                <wp:wrapNone/>
                <wp:docPr id="8" name="Grafik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2" cy="449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  <w:p w:rsidR="00875406" w:rsidRDefault="00776D75">
          <w:pPr>
            <w:pStyle w:val="Fuzeile"/>
            <w:tabs>
              <w:tab w:val="clear" w:pos="4536"/>
              <w:tab w:val="clear" w:pos="9072"/>
              <w:tab w:val="left" w:pos="3936"/>
              <w:tab w:val="right" w:pos="9356"/>
            </w:tabs>
            <w:textAlignment w:val="auto"/>
          </w:pPr>
          <w:r>
            <w:rPr>
              <w:szCs w:val="20"/>
            </w:rPr>
            <w:t>Methode von:</w:t>
          </w:r>
          <w:r>
            <w:rPr>
              <w:szCs w:val="20"/>
            </w:rPr>
            <w:tab/>
          </w:r>
          <w:hyperlink r:id="rId2" w:history="1">
            <w:r>
              <w:rPr>
                <w:rStyle w:val="Hyperlink"/>
                <w:szCs w:val="20"/>
              </w:rPr>
              <w:t>th-koeln.de/</w:t>
            </w:r>
            <w:proofErr w:type="spellStart"/>
            <w:r>
              <w:rPr>
                <w:rStyle w:val="Hyperlink"/>
                <w:szCs w:val="20"/>
              </w:rPr>
              <w:t>spielraum</w:t>
            </w:r>
            <w:proofErr w:type="spellEnd"/>
          </w:hyperlink>
        </w:p>
        <w:p w:rsidR="00875406" w:rsidRDefault="00776D75">
          <w:pPr>
            <w:pStyle w:val="Fuzeile"/>
            <w:tabs>
              <w:tab w:val="clear" w:pos="9072"/>
              <w:tab w:val="right" w:pos="9356"/>
            </w:tabs>
            <w:textAlignment w:val="auto"/>
            <w:rPr>
              <w:szCs w:val="20"/>
            </w:rPr>
          </w:pPr>
        </w:p>
      </w:tc>
      <w:tc>
        <w:tcPr>
          <w:tcW w:w="3685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5406" w:rsidRDefault="00776D75">
          <w:pPr>
            <w:pStyle w:val="Fuzeile"/>
            <w:tabs>
              <w:tab w:val="clear" w:pos="9072"/>
              <w:tab w:val="right" w:pos="9356"/>
            </w:tabs>
            <w:textAlignment w:val="auto"/>
          </w:pPr>
          <w:r>
            <w:rPr>
              <w:szCs w:val="20"/>
            </w:rPr>
            <w:t xml:space="preserve">Bereitgestellt auf </w:t>
          </w:r>
          <w:hyperlink r:id="rId3" w:history="1">
            <w:r>
              <w:rPr>
                <w:rStyle w:val="Hyperlink"/>
                <w:szCs w:val="20"/>
              </w:rPr>
              <w:t>digitale-spielewelten.de</w:t>
            </w:r>
          </w:hyperlink>
        </w:p>
      </w:tc>
    </w:tr>
  </w:tbl>
  <w:p w:rsidR="00875406" w:rsidRDefault="00776D75">
    <w:pPr>
      <w:pStyle w:val="Fuzeile"/>
      <w:tabs>
        <w:tab w:val="clear" w:pos="9072"/>
        <w:tab w:val="right" w:pos="9356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p w:rsidR="00875406" w:rsidRDefault="00776D7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D75" w:rsidRDefault="00776D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76D75" w:rsidRDefault="0077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406" w:rsidRDefault="00776D75">
    <w:pPr>
      <w:pBdr>
        <w:bottom w:val="single" w:sz="4" w:space="1" w:color="000000"/>
      </w:pBdr>
      <w:tabs>
        <w:tab w:val="right" w:pos="9498"/>
      </w:tabs>
      <w:ind w:right="-1"/>
    </w:pPr>
    <w:r>
      <w:rPr>
        <w:noProof/>
        <w:szCs w:val="20"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-917572</wp:posOffset>
          </wp:positionH>
          <wp:positionV relativeFrom="margin">
            <wp:posOffset>-1004568</wp:posOffset>
          </wp:positionV>
          <wp:extent cx="7559043" cy="10692134"/>
          <wp:effectExtent l="0" t="0" r="3807" b="0"/>
          <wp:wrapNone/>
          <wp:docPr id="7" name="WordPictureWatermark21705294" descr="160305 GamesCamp Ethik und Games - DinA4 Aushang-H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3" cy="1069213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Cs w:val="20"/>
        <w:lang w:eastAsia="de-DE"/>
      </w:rPr>
      <w:t xml:space="preserve">Play </w:t>
    </w:r>
    <w:proofErr w:type="spellStart"/>
    <w:r>
      <w:rPr>
        <w:szCs w:val="20"/>
        <w:lang w:eastAsia="de-DE"/>
      </w:rPr>
      <w:t>and</w:t>
    </w:r>
    <w:proofErr w:type="spellEnd"/>
    <w:r>
      <w:rPr>
        <w:szCs w:val="20"/>
        <w:lang w:eastAsia="de-DE"/>
      </w:rPr>
      <w:t xml:space="preserve"> </w:t>
    </w:r>
    <w:proofErr w:type="spellStart"/>
    <w:r>
      <w:rPr>
        <w:szCs w:val="20"/>
        <w:lang w:eastAsia="de-DE"/>
      </w:rPr>
      <w:t>talk</w:t>
    </w:r>
    <w:proofErr w:type="spellEnd"/>
    <w:r>
      <w:rPr>
        <w:szCs w:val="20"/>
        <w:lang w:eastAsia="de-DE"/>
      </w:rPr>
      <w:t xml:space="preserve"> </w:t>
    </w:r>
    <w:proofErr w:type="spellStart"/>
    <w:r>
      <w:rPr>
        <w:szCs w:val="20"/>
        <w:lang w:eastAsia="de-DE"/>
      </w:rPr>
      <w:t>together</w:t>
    </w:r>
    <w:proofErr w:type="spellEnd"/>
    <w:r>
      <w:rPr>
        <w:szCs w:val="20"/>
      </w:rPr>
      <w:tab/>
      <w:t xml:space="preserve">Seite </w:t>
    </w:r>
    <w:r>
      <w:rPr>
        <w:szCs w:val="20"/>
      </w:rPr>
      <w:fldChar w:fldCharType="begin"/>
    </w:r>
    <w:r>
      <w:rPr>
        <w:szCs w:val="20"/>
      </w:rPr>
      <w:instrText xml:space="preserve"> PAGE </w:instrText>
    </w:r>
    <w:r>
      <w:rPr>
        <w:szCs w:val="20"/>
      </w:rPr>
      <w:fldChar w:fldCharType="separate"/>
    </w:r>
    <w:r w:rsidR="008C43BF">
      <w:rPr>
        <w:noProof/>
        <w:szCs w:val="20"/>
      </w:rPr>
      <w:t>1</w:t>
    </w:r>
    <w:r>
      <w:rPr>
        <w:szCs w:val="20"/>
      </w:rPr>
      <w:fldChar w:fldCharType="end"/>
    </w:r>
    <w:r>
      <w:rPr>
        <w:szCs w:val="20"/>
      </w:rPr>
      <w:t>/</w:t>
    </w:r>
    <w:r>
      <w:rPr>
        <w:szCs w:val="20"/>
      </w:rPr>
      <w:fldChar w:fldCharType="begin"/>
    </w:r>
    <w:r>
      <w:rPr>
        <w:szCs w:val="20"/>
      </w:rPr>
      <w:instrText xml:space="preserve"> NUMPAGES \* ARABIC </w:instrText>
    </w:r>
    <w:r>
      <w:rPr>
        <w:szCs w:val="20"/>
      </w:rPr>
      <w:fldChar w:fldCharType="separate"/>
    </w:r>
    <w:r w:rsidR="008C43BF">
      <w:rPr>
        <w:noProof/>
        <w:szCs w:val="20"/>
      </w:rPr>
      <w:t>6</w:t>
    </w:r>
    <w:r>
      <w:rPr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93DFC"/>
    <w:multiLevelType w:val="multilevel"/>
    <w:tmpl w:val="35D45D7A"/>
    <w:styleLink w:val="LFO10"/>
    <w:lvl w:ilvl="0">
      <w:numFmt w:val="bullet"/>
      <w:pStyle w:val="-Spiegelstrich"/>
      <w:lvlText w:val="-"/>
      <w:lvlJc w:val="left"/>
      <w:pPr>
        <w:ind w:left="720" w:hanging="360"/>
      </w:pPr>
      <w:rPr>
        <w:rFonts w:ascii="Myriad Pro" w:eastAsia="Times New Roman" w:hAnsi="Myriad Pro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1DB6648"/>
    <w:multiLevelType w:val="multilevel"/>
    <w:tmpl w:val="3564B4E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2" w15:restartNumberingAfterBreak="0">
    <w:nsid w:val="559F09B6"/>
    <w:multiLevelType w:val="multilevel"/>
    <w:tmpl w:val="541634F6"/>
    <w:styleLink w:val="LFO23"/>
    <w:lvl w:ilvl="0">
      <w:numFmt w:val="bullet"/>
      <w:pStyle w:val="-Spiegelstrichliste"/>
      <w:lvlText w:val="-"/>
      <w:lvlJc w:val="left"/>
      <w:pPr>
        <w:ind w:left="720" w:hanging="360"/>
      </w:pPr>
      <w:rPr>
        <w:rFonts w:ascii="Myriad Pro" w:eastAsia="Calibri" w:hAnsi="Myriad Pro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6ADD738D"/>
    <w:multiLevelType w:val="multilevel"/>
    <w:tmpl w:val="8F8C95B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4" w15:restartNumberingAfterBreak="0">
    <w:nsid w:val="7C9C4A28"/>
    <w:multiLevelType w:val="multilevel"/>
    <w:tmpl w:val="488EE1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831FD"/>
    <w:rsid w:val="000D61DF"/>
    <w:rsid w:val="00195E41"/>
    <w:rsid w:val="00776D75"/>
    <w:rsid w:val="008C43BF"/>
    <w:rsid w:val="00F11EAE"/>
    <w:rsid w:val="00F8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1C6F14-16CB-4CA9-92B0-4E39166B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  <w:rPr>
      <w:rFonts w:ascii="Myriad Pro" w:hAnsi="Myriad Pro"/>
      <w:sz w:val="20"/>
    </w:rPr>
  </w:style>
  <w:style w:type="paragraph" w:styleId="berschrift1">
    <w:name w:val="heading 1"/>
    <w:basedOn w:val="Standard"/>
    <w:next w:val="Standard"/>
    <w:pPr>
      <w:keepNext/>
      <w:keepLines/>
      <w:spacing w:before="240" w:after="0"/>
      <w:outlineLvl w:val="0"/>
    </w:pPr>
    <w:rPr>
      <w:rFonts w:ascii="Calibri Light" w:eastAsia="MS Gothic" w:hAnsi="Calibri Light"/>
      <w:color w:val="2E74B5"/>
      <w:sz w:val="32"/>
      <w:szCs w:val="32"/>
    </w:rPr>
  </w:style>
  <w:style w:type="paragraph" w:styleId="berschrift3">
    <w:name w:val="heading 3"/>
    <w:basedOn w:val="Standard"/>
    <w:pPr>
      <w:spacing w:before="100" w:after="10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styleId="Hyperlink">
    <w:name w:val="Hyperlink"/>
    <w:basedOn w:val="Absatz-Standardschriftart"/>
    <w:rPr>
      <w:color w:val="0563C1"/>
      <w:u w:val="single"/>
    </w:rPr>
  </w:style>
  <w:style w:type="paragraph" w:styleId="Listenabsatz">
    <w:name w:val="List Paragraph"/>
    <w:basedOn w:val="Standard"/>
    <w:pPr>
      <w:ind w:left="720"/>
    </w:pPr>
  </w:style>
  <w:style w:type="paragraph" w:customStyle="1" w:styleId="-Spiegelstrichliste">
    <w:name w:val="- Spiegelstrichliste"/>
    <w:basedOn w:val="Listenabsatz"/>
    <w:pPr>
      <w:numPr>
        <w:numId w:val="1"/>
      </w:numPr>
      <w:spacing w:after="0" w:line="240" w:lineRule="auto"/>
    </w:pPr>
  </w:style>
  <w:style w:type="paragraph" w:styleId="Sprechblasentext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chn">
    <w:name w:val="Listenabsatz Zchn"/>
    <w:basedOn w:val="Absatz-Standardschriftart"/>
  </w:style>
  <w:style w:type="character" w:customStyle="1" w:styleId="-SpiegelstrichlisteZchn">
    <w:name w:val="- Spiegelstrichliste Zchn"/>
    <w:basedOn w:val="ListenabsatzZchn"/>
    <w:rPr>
      <w:rFonts w:ascii="Myriad Pro" w:hAnsi="Myriad Pro"/>
      <w:sz w:val="20"/>
    </w:rPr>
  </w:style>
  <w:style w:type="character" w:customStyle="1" w:styleId="SprechblasentextZchn">
    <w:name w:val="Sprechblasentext Zchn"/>
    <w:basedOn w:val="Absatz-Standardschriftart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rPr>
      <w:color w:val="954F72"/>
      <w:u w:val="single"/>
    </w:rPr>
  </w:style>
  <w:style w:type="paragraph" w:customStyle="1" w:styleId="gkStandard">
    <w:name w:val="_gk_Standard"/>
    <w:basedOn w:val="Standard"/>
    <w:pPr>
      <w:spacing w:after="0" w:line="360" w:lineRule="auto"/>
      <w:ind w:left="34"/>
      <w:jc w:val="both"/>
    </w:pPr>
    <w:rPr>
      <w:rFonts w:ascii="Verdana" w:eastAsia="Lucida Sans Unicode" w:hAnsi="Verdana"/>
      <w:kern w:val="3"/>
      <w:sz w:val="22"/>
      <w:szCs w:val="24"/>
      <w:lang w:eastAsia="de-DE"/>
    </w:rPr>
  </w:style>
  <w:style w:type="character" w:customStyle="1" w:styleId="gkStandardZchn">
    <w:name w:val="_gk_Standard Zchn"/>
    <w:basedOn w:val="Absatz-Standardschriftart"/>
    <w:rPr>
      <w:rFonts w:ascii="Verdana" w:eastAsia="Lucida Sans Unicode" w:hAnsi="Verdana" w:cs="Times New Roman"/>
      <w:kern w:val="3"/>
      <w:szCs w:val="24"/>
      <w:lang w:eastAsia="de-DE"/>
    </w:rPr>
  </w:style>
  <w:style w:type="paragraph" w:customStyle="1" w:styleId="gkLINKS">
    <w:name w:val="_gk_LINKS"/>
    <w:basedOn w:val="Standard"/>
    <w:pPr>
      <w:widowControl w:val="0"/>
      <w:spacing w:after="0" w:line="360" w:lineRule="auto"/>
      <w:ind w:left="33"/>
      <w:jc w:val="right"/>
    </w:pPr>
    <w:rPr>
      <w:rFonts w:ascii="Verdana" w:eastAsia="Lucida Sans Unicode" w:hAnsi="Verdana" w:cs="Tahoma"/>
      <w:b/>
      <w:bCs/>
      <w:kern w:val="3"/>
      <w:sz w:val="22"/>
      <w:lang w:val="en-GB" w:eastAsia="de-DE"/>
    </w:rPr>
  </w:style>
  <w:style w:type="character" w:customStyle="1" w:styleId="gkLINKSZchn">
    <w:name w:val="_gk_LINKS Zchn"/>
    <w:basedOn w:val="Absatz-Standardschriftart"/>
    <w:rPr>
      <w:rFonts w:ascii="Verdana" w:eastAsia="Lucida Sans Unicode" w:hAnsi="Verdana" w:cs="Tahoma"/>
      <w:b/>
      <w:bCs/>
      <w:kern w:val="3"/>
      <w:lang w:val="en-GB" w:eastAsia="de-DE"/>
    </w:rPr>
  </w:style>
  <w:style w:type="paragraph" w:styleId="Liste">
    <w:name w:val="List"/>
    <w:basedOn w:val="Textkrper"/>
    <w:pPr>
      <w:widowControl w:val="0"/>
      <w:spacing w:line="360" w:lineRule="auto"/>
      <w:jc w:val="both"/>
    </w:pPr>
    <w:rPr>
      <w:rFonts w:ascii="Verdana" w:eastAsia="Lucida Sans Unicode" w:hAnsi="Verdana" w:cs="Tahoma"/>
      <w:kern w:val="3"/>
      <w:sz w:val="22"/>
      <w:szCs w:val="24"/>
      <w:lang w:eastAsia="de-DE"/>
    </w:rPr>
  </w:style>
  <w:style w:type="paragraph" w:styleId="Textkrper">
    <w:name w:val="Body Text"/>
    <w:basedOn w:val="Standard"/>
    <w:pPr>
      <w:spacing w:after="120"/>
    </w:pPr>
  </w:style>
  <w:style w:type="character" w:customStyle="1" w:styleId="TextkrperZchn">
    <w:name w:val="Textkörper Zchn"/>
    <w:basedOn w:val="Absatz-Standardschriftart"/>
    <w:rPr>
      <w:sz w:val="20"/>
    </w:rPr>
  </w:style>
  <w:style w:type="character" w:customStyle="1" w:styleId="motto-text">
    <w:name w:val="motto-text"/>
    <w:basedOn w:val="Absatz-Standardschriftart"/>
  </w:style>
  <w:style w:type="paragraph" w:styleId="Standard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1Zchn">
    <w:name w:val="Überschrift 1 Zchn"/>
    <w:basedOn w:val="Absatz-Standardschriftart"/>
    <w:rPr>
      <w:rFonts w:ascii="Calibri Light" w:eastAsia="MS Gothic" w:hAnsi="Calibri Light" w:cs="Times New Roman"/>
      <w:color w:val="2E74B5"/>
      <w:sz w:val="32"/>
      <w:szCs w:val="32"/>
    </w:rPr>
  </w:style>
  <w:style w:type="character" w:customStyle="1" w:styleId="redactor-invisible-space">
    <w:name w:val="redactor-invisible-space"/>
    <w:basedOn w:val="Absatz-Standardschriftart"/>
  </w:style>
  <w:style w:type="character" w:styleId="Fett">
    <w:name w:val="Strong"/>
    <w:basedOn w:val="Absatz-Standardschriftart"/>
    <w:rPr>
      <w:b/>
      <w:bCs/>
    </w:rPr>
  </w:style>
  <w:style w:type="paragraph" w:customStyle="1" w:styleId="Standard0">
    <w:name w:val="_Standard"/>
    <w:basedOn w:val="Standard"/>
    <w:pPr>
      <w:spacing w:after="0" w:line="240" w:lineRule="auto"/>
    </w:pPr>
    <w:rPr>
      <w:rFonts w:eastAsia="Times New Roman"/>
      <w:szCs w:val="20"/>
      <w:lang w:eastAsia="de-DE"/>
    </w:rPr>
  </w:style>
  <w:style w:type="paragraph" w:customStyle="1" w:styleId="-Spiegelstrich">
    <w:name w:val="_-Spiegelstrich"/>
    <w:basedOn w:val="Standard0"/>
    <w:pPr>
      <w:numPr>
        <w:numId w:val="2"/>
      </w:numPr>
    </w:pPr>
  </w:style>
  <w:style w:type="character" w:customStyle="1" w:styleId="StandardZchn">
    <w:name w:val="_Standard Zchn"/>
    <w:basedOn w:val="Absatz-Standardschriftart"/>
    <w:rPr>
      <w:rFonts w:ascii="Myriad Pro" w:eastAsia="Times New Roman" w:hAnsi="Myriad Pro"/>
      <w:sz w:val="20"/>
      <w:szCs w:val="20"/>
      <w:lang w:eastAsia="de-DE"/>
    </w:rPr>
  </w:style>
  <w:style w:type="character" w:customStyle="1" w:styleId="-SpiegelstrichZchn">
    <w:name w:val="_-Spiegelstrich Zchn"/>
    <w:basedOn w:val="StandardZchn"/>
    <w:rPr>
      <w:rFonts w:ascii="Myriad Pro" w:eastAsia="Times New Roman" w:hAnsi="Myriad Pro"/>
      <w:sz w:val="20"/>
      <w:szCs w:val="20"/>
      <w:lang w:eastAsia="de-DE"/>
    </w:rPr>
  </w:style>
  <w:style w:type="numbering" w:customStyle="1" w:styleId="LFO23">
    <w:name w:val="LFO23"/>
    <w:basedOn w:val="KeineListe"/>
    <w:pPr>
      <w:numPr>
        <w:numId w:val="1"/>
      </w:numPr>
    </w:pPr>
  </w:style>
  <w:style w:type="numbering" w:customStyle="1" w:styleId="LFO10">
    <w:name w:val="LFO10"/>
    <w:basedOn w:val="KeineList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ktipraksis.iktsenteret.no/sites/default/files/files/TWD_English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gitale-Spielewelten.de" TargetMode="External"/><Relationship Id="rId2" Type="http://schemas.openxmlformats.org/officeDocument/2006/relationships/hyperlink" Target="http://www.th-koeln.de/spielraum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1236</Words>
  <Characters>8381</Characters>
  <Application>Microsoft Office Word</Application>
  <DocSecurity>0</DocSecurity>
  <Lines>441</Lines>
  <Paragraphs>114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Sleegers</dc:creator>
  <dc:description/>
  <cp:lastModifiedBy>Jürgen Sleegers</cp:lastModifiedBy>
  <cp:revision>4</cp:revision>
  <cp:lastPrinted>2017-01-13T17:53:00Z</cp:lastPrinted>
  <dcterms:created xsi:type="dcterms:W3CDTF">2017-01-15T15:53:00Z</dcterms:created>
  <dcterms:modified xsi:type="dcterms:W3CDTF">2017-01-15T15:54:00Z</dcterms:modified>
</cp:coreProperties>
</file>